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A0" w:rsidRPr="003113D4" w:rsidRDefault="004371A0" w:rsidP="004371A0">
      <w:pPr>
        <w:pStyle w:val="Title"/>
        <w:rPr>
          <w:rFonts w:asciiTheme="minorHAnsi" w:hAnsiTheme="minorHAnsi" w:cs="Arial"/>
          <w:sz w:val="32"/>
          <w:szCs w:val="32"/>
          <w:u w:val="none"/>
        </w:rPr>
      </w:pPr>
      <w:bookmarkStart w:id="0" w:name="_GoBack"/>
      <w:bookmarkEnd w:id="0"/>
      <w:r w:rsidRPr="003113D4">
        <w:rPr>
          <w:rFonts w:asciiTheme="minorHAnsi" w:hAnsiTheme="minorHAnsi" w:cs="Arial"/>
          <w:sz w:val="32"/>
          <w:szCs w:val="32"/>
          <w:u w:val="none"/>
        </w:rPr>
        <w:t>Waiver Request for Manure Storage Setback Requirements</w:t>
      </w:r>
    </w:p>
    <w:p w:rsidR="004371A0" w:rsidRPr="003113D4" w:rsidRDefault="004371A0" w:rsidP="004371A0">
      <w:pPr>
        <w:rPr>
          <w:rFonts w:asciiTheme="minorHAnsi" w:hAnsiTheme="minorHAnsi" w:cs="Arial"/>
          <w:sz w:val="22"/>
          <w:szCs w:val="22"/>
        </w:rPr>
      </w:pP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 xml:space="preserve">Date: 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_________________________________________</w:t>
      </w:r>
    </w:p>
    <w:p w:rsidR="004371A0" w:rsidRPr="003113D4" w:rsidRDefault="004371A0" w:rsidP="003113D4">
      <w:pPr>
        <w:rPr>
          <w:rFonts w:asciiTheme="minorHAnsi" w:hAnsiTheme="minorHAnsi" w:cs="Arial"/>
          <w:sz w:val="22"/>
          <w:szCs w:val="22"/>
        </w:rPr>
      </w:pP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 xml:space="preserve">Name: 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________________________________________</w:t>
      </w:r>
    </w:p>
    <w:p w:rsidR="004371A0" w:rsidRPr="003113D4" w:rsidRDefault="004371A0" w:rsidP="003113D4">
      <w:pPr>
        <w:rPr>
          <w:rFonts w:asciiTheme="minorHAnsi" w:hAnsiTheme="minorHAnsi" w:cs="Arial"/>
          <w:sz w:val="22"/>
          <w:szCs w:val="22"/>
        </w:rPr>
      </w:pP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 xml:space="preserve">Address: 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______________________________________</w:t>
      </w: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 xml:space="preserve">City, State, ZIP: 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_________________________________</w:t>
      </w: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 xml:space="preserve">County: 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______________________________</w:t>
      </w:r>
      <w:r w:rsidRPr="003113D4">
        <w:rPr>
          <w:rFonts w:asciiTheme="minorHAnsi" w:hAnsiTheme="minorHAnsi" w:cs="Arial"/>
          <w:sz w:val="22"/>
          <w:szCs w:val="22"/>
        </w:rPr>
        <w:t xml:space="preserve">Township: 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_________________</w:t>
      </w:r>
      <w:r w:rsidR="003113D4"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</w:t>
      </w:r>
      <w:r w:rsidRPr="003113D4">
        <w:rPr>
          <w:rFonts w:asciiTheme="minorHAnsi" w:hAnsiTheme="minorHAnsi" w:cs="Arial"/>
          <w:b w:val="0"/>
          <w:bCs w:val="0"/>
          <w:sz w:val="22"/>
          <w:szCs w:val="22"/>
        </w:rPr>
        <w:t>____________</w:t>
      </w:r>
    </w:p>
    <w:p w:rsidR="004371A0" w:rsidRPr="003113D4" w:rsidRDefault="004371A0" w:rsidP="003113D4">
      <w:pPr>
        <w:pStyle w:val="Heading1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4371A0" w:rsidRPr="003113D4" w:rsidRDefault="004371A0" w:rsidP="003113D4">
      <w:pPr>
        <w:rPr>
          <w:rFonts w:asciiTheme="minorHAnsi" w:hAnsiTheme="minorHAnsi" w:cs="Arial"/>
          <w:bCs/>
          <w:sz w:val="22"/>
          <w:szCs w:val="22"/>
        </w:rPr>
      </w:pPr>
      <w:r w:rsidRPr="003113D4">
        <w:rPr>
          <w:rFonts w:asciiTheme="minorHAnsi" w:hAnsiTheme="minorHAnsi" w:cs="Arial"/>
          <w:b/>
          <w:bCs/>
          <w:sz w:val="22"/>
          <w:szCs w:val="22"/>
        </w:rPr>
        <w:t>Directions to Farm:</w:t>
      </w:r>
      <w:r w:rsidRPr="003113D4">
        <w:rPr>
          <w:rFonts w:asciiTheme="minorHAnsi" w:hAnsiTheme="minorHAnsi" w:cs="Arial"/>
          <w:bCs/>
          <w:sz w:val="22"/>
          <w:szCs w:val="22"/>
        </w:rPr>
        <w:t xml:space="preserve"> ___________________________________________________</w:t>
      </w:r>
      <w:r w:rsidR="003113D4" w:rsidRPr="003113D4">
        <w:rPr>
          <w:rFonts w:asciiTheme="minorHAnsi" w:hAnsiTheme="minorHAnsi" w:cs="Arial"/>
          <w:bCs/>
          <w:sz w:val="22"/>
          <w:szCs w:val="22"/>
        </w:rPr>
        <w:t>__________</w:t>
      </w:r>
      <w:r w:rsidRPr="003113D4">
        <w:rPr>
          <w:rFonts w:asciiTheme="minorHAnsi" w:hAnsiTheme="minorHAnsi" w:cs="Arial"/>
          <w:bCs/>
          <w:sz w:val="22"/>
          <w:szCs w:val="22"/>
        </w:rPr>
        <w:t>________</w:t>
      </w:r>
    </w:p>
    <w:p w:rsidR="004371A0" w:rsidRPr="003113D4" w:rsidRDefault="004371A0" w:rsidP="003113D4">
      <w:pPr>
        <w:rPr>
          <w:rFonts w:asciiTheme="minorHAnsi" w:hAnsiTheme="minorHAnsi" w:cs="Arial"/>
          <w:bCs/>
          <w:sz w:val="22"/>
          <w:szCs w:val="22"/>
        </w:rPr>
      </w:pPr>
    </w:p>
    <w:p w:rsidR="004371A0" w:rsidRPr="003113D4" w:rsidRDefault="004371A0" w:rsidP="003113D4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</w:t>
      </w:r>
    </w:p>
    <w:p w:rsidR="004371A0" w:rsidRPr="003113D4" w:rsidRDefault="004371A0" w:rsidP="003113D4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</w:p>
    <w:p w:rsidR="004371A0" w:rsidRDefault="004371A0" w:rsidP="003113D4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  <w:r w:rsidRPr="003113D4">
        <w:rPr>
          <w:rFonts w:asciiTheme="minorHAnsi" w:hAnsiTheme="minorHAnsi" w:cs="Arial"/>
          <w:sz w:val="22"/>
          <w:szCs w:val="22"/>
        </w:rPr>
        <w:t xml:space="preserve">I hereby request the setback of 100 feet from a perennial stream, river, spring, private well, lake, pond or reservoir required by the Nutrient Management Act be waived for the construction of a manure storage facility on the above farm.  </w:t>
      </w:r>
      <w:r w:rsidRPr="003113D4">
        <w:rPr>
          <w:rFonts w:asciiTheme="minorHAnsi" w:hAnsiTheme="minorHAnsi" w:cs="Arial"/>
          <w:sz w:val="22"/>
          <w:szCs w:val="22"/>
          <w:u w:val="single"/>
        </w:rPr>
        <w:t>I have included a sketch of the operation showing the proposed location of the manure storage facility, farm buildings and the body of water in question</w:t>
      </w:r>
      <w:r w:rsidR="006F67EC">
        <w:rPr>
          <w:rFonts w:asciiTheme="minorHAnsi" w:hAnsiTheme="minorHAnsi" w:cs="Arial"/>
          <w:sz w:val="22"/>
          <w:szCs w:val="22"/>
        </w:rPr>
        <w:t>.</w:t>
      </w:r>
    </w:p>
    <w:p w:rsidR="006F67EC" w:rsidRPr="003113D4" w:rsidRDefault="006F67EC" w:rsidP="003113D4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</w:p>
    <w:p w:rsidR="004371A0" w:rsidRPr="003113D4" w:rsidRDefault="004371A0" w:rsidP="003113D4">
      <w:pPr>
        <w:pStyle w:val="ListBullet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3113D4">
        <w:rPr>
          <w:rFonts w:asciiTheme="minorHAnsi" w:hAnsiTheme="minorHAnsi"/>
          <w:sz w:val="22"/>
          <w:szCs w:val="22"/>
        </w:rPr>
        <w:t xml:space="preserve">I understand that a delegated conservation district or the State Conservation Commission can grant a waiver only for agricultural operations that existed prior to </w:t>
      </w:r>
      <w:smartTag w:uri="urn:schemas-microsoft-com:office:smarttags" w:element="date">
        <w:smartTagPr>
          <w:attr w:name="Year" w:val="1997"/>
          <w:attr w:name="Day" w:val="1"/>
          <w:attr w:name="Month" w:val="10"/>
        </w:smartTagPr>
        <w:r w:rsidRPr="003113D4">
          <w:rPr>
            <w:rFonts w:asciiTheme="minorHAnsi" w:hAnsiTheme="minorHAnsi"/>
            <w:sz w:val="22"/>
            <w:szCs w:val="22"/>
          </w:rPr>
          <w:t>October 1, 1997</w:t>
        </w:r>
      </w:smartTag>
      <w:r w:rsidRPr="003113D4">
        <w:rPr>
          <w:rFonts w:asciiTheme="minorHAnsi" w:hAnsiTheme="minorHAnsi"/>
          <w:sz w:val="22"/>
          <w:szCs w:val="22"/>
        </w:rPr>
        <w:t>.  I further understand that the following criteria will be used by the reviewing agency in consideration of the requested waiver:</w:t>
      </w:r>
    </w:p>
    <w:p w:rsidR="004371A0" w:rsidRPr="003113D4" w:rsidRDefault="004371A0" w:rsidP="003113D4">
      <w:pPr>
        <w:pStyle w:val="ListBullet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placement of the manure storage facility outside the setback area is found to be physically impractical or economically unreasonable.  (Increase cost $5,000 or 50%, whichever is less)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placement of the manure storage facility within the setback area has been determined to adequately protect the surrounding area from off-site migration of manure, or, the placement of the facility outside the setback area would increase the probability of off-site migration of manure.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design and construction of the facility shall meet PA Technical Guide standards and be certified by the contractor and the Engineer of Record.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operator shall allow for annual inspection of the manure storage facility when empty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Where applicable, the loading/unloading area shall be designed to retain, or divert from off-site migration, 3,000 gallons of manure.  If required, the retention area shall be designed for recollection of the manure for field application.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manure storage facility shall not utilize a gravity unloading system.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foundation, floor and walls of the manure storage facility shall be protected against erosion and flotation from the 25-year flood event.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The top of the manure storage facility shall be above the 100-year flood elevation.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A written Operation &amp; Maintenance plan, to include a site-specific contingency plan, shall be developed, reviewed and implemented for the facility.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Where appropriate, a secondary check valve shall be installed in loading/unloading equipment, to assure that manure cannot freely flow out of the storage if there is a primary valve or equipment failure.</w:t>
      </w:r>
    </w:p>
    <w:p w:rsidR="004371A0" w:rsidRPr="003113D4" w:rsidRDefault="004371A0" w:rsidP="003113D4">
      <w:pPr>
        <w:pStyle w:val="ListBullet2"/>
        <w:spacing w:after="60"/>
        <w:ind w:hanging="274"/>
        <w:rPr>
          <w:rFonts w:asciiTheme="minorHAnsi" w:hAnsiTheme="minorHAnsi"/>
        </w:rPr>
      </w:pPr>
      <w:r w:rsidRPr="003113D4">
        <w:rPr>
          <w:rFonts w:asciiTheme="minorHAnsi" w:hAnsiTheme="minorHAnsi"/>
        </w:rPr>
        <w:t>If applicable, the private water well construction meets the criteria that the Commission, in consultation with NRCS, deems necessary to protect water quality.</w:t>
      </w:r>
    </w:p>
    <w:p w:rsidR="004371A0" w:rsidRPr="003113D4" w:rsidRDefault="004371A0" w:rsidP="003113D4">
      <w:pPr>
        <w:pStyle w:val="ListBullet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A32A12" w:rsidRPr="003113D4" w:rsidRDefault="004371A0" w:rsidP="003113D4">
      <w:pPr>
        <w:pStyle w:val="ListBullet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3113D4">
        <w:rPr>
          <w:rFonts w:asciiTheme="minorHAnsi" w:hAnsiTheme="minorHAnsi"/>
          <w:b/>
          <w:bCs/>
          <w:sz w:val="22"/>
          <w:szCs w:val="22"/>
        </w:rPr>
        <w:t>Operator’s Signature</w:t>
      </w:r>
      <w:r w:rsidRPr="003113D4">
        <w:rPr>
          <w:rFonts w:asciiTheme="minorHAnsi" w:hAnsiTheme="minorHAnsi"/>
          <w:sz w:val="22"/>
          <w:szCs w:val="22"/>
        </w:rPr>
        <w:t>: _________________________________________</w:t>
      </w:r>
    </w:p>
    <w:sectPr w:rsidR="00A32A12" w:rsidRPr="003113D4" w:rsidSect="00B52A70">
      <w:footerReference w:type="default" r:id="rId8"/>
      <w:pgSz w:w="12240" w:h="15840"/>
      <w:pgMar w:top="1152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B4" w:rsidRDefault="00EC3BB4">
      <w:r>
        <w:separator/>
      </w:r>
    </w:p>
  </w:endnote>
  <w:endnote w:type="continuationSeparator" w:id="0">
    <w:p w:rsidR="00EC3BB4" w:rsidRDefault="00E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9C" w:rsidRPr="004371A0" w:rsidRDefault="00C44298" w:rsidP="004371A0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January 2013</w:t>
    </w:r>
    <w:r w:rsidR="004371A0" w:rsidRPr="004371A0">
      <w:rPr>
        <w:rFonts w:ascii="Arial" w:hAnsi="Arial" w:cs="Arial"/>
        <w:b/>
        <w:sz w:val="16"/>
        <w:szCs w:val="16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B4" w:rsidRDefault="00EC3BB4">
      <w:r>
        <w:separator/>
      </w:r>
    </w:p>
  </w:footnote>
  <w:footnote w:type="continuationSeparator" w:id="0">
    <w:p w:rsidR="00EC3BB4" w:rsidRDefault="00EC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22E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D94280"/>
    <w:multiLevelType w:val="hybridMultilevel"/>
    <w:tmpl w:val="C1CC5FD0"/>
    <w:lvl w:ilvl="0" w:tplc="1A4C3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C15F9"/>
    <w:multiLevelType w:val="hybridMultilevel"/>
    <w:tmpl w:val="5802B028"/>
    <w:lvl w:ilvl="0" w:tplc="6B8AFCAA">
      <w:start w:val="1"/>
      <w:numFmt w:val="bullet"/>
      <w:pStyle w:val="ListBullet2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C7AF4"/>
    <w:multiLevelType w:val="hybridMultilevel"/>
    <w:tmpl w:val="AF805BFC"/>
    <w:lvl w:ilvl="0" w:tplc="1A4C3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065A7"/>
    <w:multiLevelType w:val="hybridMultilevel"/>
    <w:tmpl w:val="C1CC5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1E36ED"/>
    <w:multiLevelType w:val="hybridMultilevel"/>
    <w:tmpl w:val="D3307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6E"/>
    <w:rsid w:val="00007A96"/>
    <w:rsid w:val="00011903"/>
    <w:rsid w:val="000265EF"/>
    <w:rsid w:val="0008346E"/>
    <w:rsid w:val="000C7B43"/>
    <w:rsid w:val="00225FE2"/>
    <w:rsid w:val="003113D4"/>
    <w:rsid w:val="003552CA"/>
    <w:rsid w:val="003920CB"/>
    <w:rsid w:val="004371A0"/>
    <w:rsid w:val="00517929"/>
    <w:rsid w:val="0059079C"/>
    <w:rsid w:val="00633A16"/>
    <w:rsid w:val="00696024"/>
    <w:rsid w:val="006D6B93"/>
    <w:rsid w:val="006F67EC"/>
    <w:rsid w:val="00794B16"/>
    <w:rsid w:val="008A1DD3"/>
    <w:rsid w:val="009C0876"/>
    <w:rsid w:val="00A32A12"/>
    <w:rsid w:val="00AA23E0"/>
    <w:rsid w:val="00B52A70"/>
    <w:rsid w:val="00B75366"/>
    <w:rsid w:val="00C006A6"/>
    <w:rsid w:val="00C44298"/>
    <w:rsid w:val="00C63969"/>
    <w:rsid w:val="00C80E6F"/>
    <w:rsid w:val="00CA639F"/>
    <w:rsid w:val="00D44C40"/>
    <w:rsid w:val="00DC0759"/>
    <w:rsid w:val="00E63AF1"/>
    <w:rsid w:val="00E908D5"/>
    <w:rsid w:val="00EC3BB4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ListBullet2">
    <w:name w:val="List Bullet 2"/>
    <w:basedOn w:val="Normal"/>
    <w:autoRedefine/>
    <w:rsid w:val="003113D4"/>
    <w:pPr>
      <w:numPr>
        <w:numId w:val="6"/>
      </w:numPr>
      <w:tabs>
        <w:tab w:val="clear" w:pos="720"/>
      </w:tabs>
      <w:ind w:left="36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rsid w:val="00011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1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5EF"/>
  </w:style>
  <w:style w:type="character" w:styleId="Hyperlink">
    <w:name w:val="Hyperlink"/>
    <w:basedOn w:val="DefaultParagraphFont"/>
    <w:rsid w:val="00007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ListBullet2">
    <w:name w:val="List Bullet 2"/>
    <w:basedOn w:val="Normal"/>
    <w:autoRedefine/>
    <w:rsid w:val="003113D4"/>
    <w:pPr>
      <w:numPr>
        <w:numId w:val="6"/>
      </w:numPr>
      <w:tabs>
        <w:tab w:val="clear" w:pos="720"/>
      </w:tabs>
      <w:ind w:left="36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rsid w:val="00011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1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5EF"/>
  </w:style>
  <w:style w:type="character" w:styleId="Hyperlink">
    <w:name w:val="Hyperlink"/>
    <w:basedOn w:val="DefaultParagraphFont"/>
    <w:rsid w:val="00007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Request for Manure Storage Setback Requirements</vt:lpstr>
    </vt:vector>
  </TitlesOfParts>
  <Company>Pa. Dept. of Agriculture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Request for Manure Storage Setback Requirements</dc:title>
  <dc:creator>wclouser</dc:creator>
  <cp:lastModifiedBy>Jerry Martin</cp:lastModifiedBy>
  <cp:revision>2</cp:revision>
  <cp:lastPrinted>2011-12-07T18:04:00Z</cp:lastPrinted>
  <dcterms:created xsi:type="dcterms:W3CDTF">2014-09-09T17:52:00Z</dcterms:created>
  <dcterms:modified xsi:type="dcterms:W3CDTF">2014-09-09T17:52:00Z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1312735719</vt:i4>
  </property>
  <property fmtid="{D5CDD505-2E9C-101B-9397-08002B2CF9AE}" pid="3" name="_EmailSubject">
    <vt:lpwstr>Technical Manual Supplements</vt:lpwstr>
  </property>
  <property fmtid="{D5CDD505-2E9C-101B-9397-08002B2CF9AE}" pid="4" name="_AuthorEmail">
    <vt:lpwstr>dgoodlande@state.pa.us</vt:lpwstr>
  </property>
  <property fmtid="{D5CDD505-2E9C-101B-9397-08002B2CF9AE}" pid="5" name="_AuthorEmailDisplayName">
    <vt:lpwstr>Goodlander, Douglas</vt:lpwstr>
  </property>
  <property fmtid="{D5CDD505-2E9C-101B-9397-08002B2CF9AE}" pid="6" name="_ReviewingToolsShownOnce">
    <vt:lpwstr/>
  </property>
</Properties>
</file>